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b/>
          <w:bCs/>
          <w:sz w:val="28"/>
          <w:szCs w:val="28"/>
          <w:lang w:val="en-US" w:eastAsia="zh-CN"/>
        </w:rPr>
      </w:pPr>
      <w:bookmarkStart w:id="0" w:name="_GoBack"/>
      <w:r>
        <w:rPr>
          <w:rFonts w:hint="eastAsia"/>
          <w:b/>
          <w:bCs/>
          <w:sz w:val="28"/>
          <w:szCs w:val="28"/>
          <w:lang w:val="en-US" w:eastAsia="zh-CN"/>
        </w:rPr>
        <w:t>金融学院</w:t>
      </w:r>
      <w:r>
        <w:rPr>
          <w:b/>
          <w:bCs/>
          <w:sz w:val="28"/>
          <w:szCs w:val="28"/>
        </w:rPr>
        <w:t>2023年中国平安励志计划</w:t>
      </w:r>
      <w:r>
        <w:rPr>
          <w:rFonts w:hint="eastAsia"/>
          <w:b/>
          <w:bCs/>
          <w:sz w:val="28"/>
          <w:szCs w:val="28"/>
        </w:rPr>
        <w:t>大赛</w:t>
      </w:r>
      <w:r>
        <w:rPr>
          <w:rFonts w:hint="eastAsia"/>
          <w:b/>
          <w:bCs/>
          <w:sz w:val="28"/>
          <w:szCs w:val="28"/>
          <w:lang w:val="en-US" w:eastAsia="zh-CN"/>
        </w:rPr>
        <w:t>选拔赛公示</w:t>
      </w:r>
    </w:p>
    <w:bookmarkEnd w:id="0"/>
    <w:p>
      <w:pPr>
        <w:widowControl/>
        <w:spacing w:line="360" w:lineRule="auto"/>
        <w:ind w:firstLine="420" w:firstLineChars="200"/>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学院全体</w:t>
      </w:r>
      <w:r>
        <w:rPr>
          <w:rFonts w:hint="eastAsia" w:ascii="Times New Roman" w:hAnsi="Times New Roman" w:eastAsia="宋体" w:cs="Times New Roman"/>
          <w:color w:val="000000"/>
          <w:szCs w:val="21"/>
          <w:lang w:val="en-US" w:eastAsia="zh-CN"/>
        </w:rPr>
        <w:t>师生</w:t>
      </w:r>
      <w:r>
        <w:rPr>
          <w:rFonts w:hint="default" w:ascii="Times New Roman" w:hAnsi="Times New Roman" w:eastAsia="宋体" w:cs="Times New Roman"/>
          <w:color w:val="000000"/>
          <w:szCs w:val="21"/>
        </w:rPr>
        <w:t>：</w:t>
      </w:r>
    </w:p>
    <w:p>
      <w:pPr>
        <w:widowControl/>
        <w:spacing w:line="360" w:lineRule="auto"/>
        <w:ind w:firstLine="420" w:firstLineChars="200"/>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近日金融学院组织专家对中国平安励志大赛的申报材料进行线下评审，并结合答辩现场进行综合打分。现将本大赛获奖名单</w:t>
      </w:r>
      <w:r>
        <w:rPr>
          <w:rFonts w:hint="default" w:ascii="Times New Roman" w:hAnsi="Times New Roman" w:eastAsia="宋体" w:cs="Times New Roman"/>
          <w:color w:val="000000"/>
          <w:szCs w:val="21"/>
        </w:rPr>
        <w:t>公示</w:t>
      </w:r>
      <w:r>
        <w:rPr>
          <w:rFonts w:hint="default" w:ascii="Times New Roman" w:hAnsi="Times New Roman" w:eastAsia="宋体" w:cs="Times New Roman"/>
          <w:color w:val="000000"/>
          <w:kern w:val="0"/>
          <w:szCs w:val="21"/>
        </w:rPr>
        <w:t>如下：</w:t>
      </w:r>
    </w:p>
    <w:tbl>
      <w:tblPr>
        <w:tblStyle w:val="5"/>
        <w:tblpPr w:leftFromText="180" w:rightFromText="180" w:vertAnchor="text" w:horzAnchor="margin" w:tblpXSpec="center" w:tblpY="368"/>
        <w:tblW w:w="9305" w:type="dxa"/>
        <w:tblInd w:w="0" w:type="dxa"/>
        <w:tblLayout w:type="autofit"/>
        <w:tblCellMar>
          <w:top w:w="0" w:type="dxa"/>
          <w:left w:w="108" w:type="dxa"/>
          <w:bottom w:w="0" w:type="dxa"/>
          <w:right w:w="108" w:type="dxa"/>
        </w:tblCellMar>
      </w:tblPr>
      <w:tblGrid>
        <w:gridCol w:w="1069"/>
        <w:gridCol w:w="987"/>
        <w:gridCol w:w="7249"/>
      </w:tblGrid>
      <w:tr>
        <w:tblPrEx>
          <w:tblCellMar>
            <w:top w:w="0" w:type="dxa"/>
            <w:left w:w="108" w:type="dxa"/>
            <w:bottom w:w="0" w:type="dxa"/>
            <w:right w:w="108" w:type="dxa"/>
          </w:tblCellMar>
        </w:tblPrEx>
        <w:trPr>
          <w:trHeight w:val="375" w:hRule="atLeast"/>
        </w:trPr>
        <w:tc>
          <w:tcPr>
            <w:tcW w:w="10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获奖等级</w:t>
            </w:r>
          </w:p>
        </w:tc>
        <w:tc>
          <w:tcPr>
            <w:tcW w:w="987"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队长</w:t>
            </w:r>
          </w:p>
        </w:tc>
        <w:tc>
          <w:tcPr>
            <w:tcW w:w="7249"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选题</w:t>
            </w:r>
          </w:p>
        </w:tc>
      </w:tr>
      <w:tr>
        <w:tblPrEx>
          <w:tblCellMar>
            <w:top w:w="0" w:type="dxa"/>
            <w:left w:w="108" w:type="dxa"/>
            <w:bottom w:w="0" w:type="dxa"/>
            <w:right w:w="108" w:type="dxa"/>
          </w:tblCellMar>
        </w:tblPrEx>
        <w:trPr>
          <w:trHeight w:val="417" w:hRule="atLeast"/>
        </w:trPr>
        <w:tc>
          <w:tcPr>
            <w:tcW w:w="106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一等奖</w:t>
            </w:r>
          </w:p>
        </w:tc>
        <w:tc>
          <w:tcPr>
            <w:tcW w:w="987"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张少杰</w:t>
            </w:r>
          </w:p>
        </w:tc>
        <w:tc>
          <w:tcPr>
            <w:tcW w:w="724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保险影响共同富裕机制研究——以湖北地区太保“防贫保”为例</w:t>
            </w:r>
          </w:p>
        </w:tc>
      </w:tr>
      <w:tr>
        <w:tblPrEx>
          <w:tblCellMar>
            <w:top w:w="0" w:type="dxa"/>
            <w:left w:w="108" w:type="dxa"/>
            <w:bottom w:w="0" w:type="dxa"/>
            <w:right w:w="108" w:type="dxa"/>
          </w:tblCellMar>
        </w:tblPrEx>
        <w:trPr>
          <w:trHeight w:val="417" w:hRule="atLeast"/>
        </w:trPr>
        <w:tc>
          <w:tcPr>
            <w:tcW w:w="106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一等奖</w:t>
            </w:r>
          </w:p>
        </w:tc>
        <w:tc>
          <w:tcPr>
            <w:tcW w:w="987"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陈自然</w:t>
            </w:r>
          </w:p>
        </w:tc>
        <w:tc>
          <w:tcPr>
            <w:tcW w:w="724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 xml:space="preserve">保险介入智慧养老供求双方的影响因素及对策研究——基于武汉市部分社区的问卷调查    </w:t>
            </w:r>
          </w:p>
        </w:tc>
      </w:tr>
      <w:tr>
        <w:tblPrEx>
          <w:tblCellMar>
            <w:top w:w="0" w:type="dxa"/>
            <w:left w:w="108" w:type="dxa"/>
            <w:bottom w:w="0" w:type="dxa"/>
            <w:right w:w="108" w:type="dxa"/>
          </w:tblCellMar>
        </w:tblPrEx>
        <w:trPr>
          <w:trHeight w:val="417" w:hRule="atLeast"/>
        </w:trPr>
        <w:tc>
          <w:tcPr>
            <w:tcW w:w="106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一等奖</w:t>
            </w:r>
          </w:p>
        </w:tc>
        <w:tc>
          <w:tcPr>
            <w:tcW w:w="987"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周雯萱</w:t>
            </w:r>
          </w:p>
        </w:tc>
        <w:tc>
          <w:tcPr>
            <w:tcW w:w="724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 xml:space="preserve">固废视角下，智能碳普惠推广可行性及优化路径探究——基于13123位用户和4家上市公司的调研 </w:t>
            </w:r>
          </w:p>
        </w:tc>
      </w:tr>
      <w:tr>
        <w:tblPrEx>
          <w:tblCellMar>
            <w:top w:w="0" w:type="dxa"/>
            <w:left w:w="108" w:type="dxa"/>
            <w:bottom w:w="0" w:type="dxa"/>
            <w:right w:w="108" w:type="dxa"/>
          </w:tblCellMar>
        </w:tblPrEx>
        <w:trPr>
          <w:trHeight w:val="417" w:hRule="atLeast"/>
        </w:trPr>
        <w:tc>
          <w:tcPr>
            <w:tcW w:w="106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二等奖</w:t>
            </w:r>
          </w:p>
        </w:tc>
        <w:tc>
          <w:tcPr>
            <w:tcW w:w="987"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梅筱萱</w:t>
            </w:r>
          </w:p>
        </w:tc>
        <w:tc>
          <w:tcPr>
            <w:tcW w:w="724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平安智行，绿色低碳 ——关于车联网环境下网约车UBI专属车险的调研</w:t>
            </w:r>
          </w:p>
        </w:tc>
      </w:tr>
      <w:tr>
        <w:tblPrEx>
          <w:tblCellMar>
            <w:top w:w="0" w:type="dxa"/>
            <w:left w:w="108" w:type="dxa"/>
            <w:bottom w:w="0" w:type="dxa"/>
            <w:right w:w="108" w:type="dxa"/>
          </w:tblCellMar>
        </w:tblPrEx>
        <w:trPr>
          <w:trHeight w:val="417" w:hRule="atLeast"/>
        </w:trPr>
        <w:tc>
          <w:tcPr>
            <w:tcW w:w="106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二等奖</w:t>
            </w:r>
          </w:p>
        </w:tc>
        <w:tc>
          <w:tcPr>
            <w:tcW w:w="987"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周慧</w:t>
            </w:r>
          </w:p>
        </w:tc>
        <w:tc>
          <w:tcPr>
            <w:tcW w:w="724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养老风险感知对个人养老金配置意愿的影响——基于个人养老金政策的调查研究</w:t>
            </w:r>
          </w:p>
        </w:tc>
      </w:tr>
      <w:tr>
        <w:tblPrEx>
          <w:tblCellMar>
            <w:top w:w="0" w:type="dxa"/>
            <w:left w:w="108" w:type="dxa"/>
            <w:bottom w:w="0" w:type="dxa"/>
            <w:right w:w="108" w:type="dxa"/>
          </w:tblCellMar>
        </w:tblPrEx>
        <w:trPr>
          <w:trHeight w:val="417" w:hRule="atLeast"/>
        </w:trPr>
        <w:tc>
          <w:tcPr>
            <w:tcW w:w="106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二等奖</w:t>
            </w:r>
          </w:p>
        </w:tc>
        <w:tc>
          <w:tcPr>
            <w:tcW w:w="987"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余若男</w:t>
            </w:r>
          </w:p>
        </w:tc>
        <w:tc>
          <w:tcPr>
            <w:tcW w:w="724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长护万家——消费者对商业长护险的购买意愿及满意度分析</w:t>
            </w:r>
          </w:p>
        </w:tc>
      </w:tr>
      <w:tr>
        <w:tblPrEx>
          <w:tblCellMar>
            <w:top w:w="0" w:type="dxa"/>
            <w:left w:w="108" w:type="dxa"/>
            <w:bottom w:w="0" w:type="dxa"/>
            <w:right w:w="108" w:type="dxa"/>
          </w:tblCellMar>
        </w:tblPrEx>
        <w:trPr>
          <w:trHeight w:val="417" w:hRule="atLeast"/>
        </w:trPr>
        <w:tc>
          <w:tcPr>
            <w:tcW w:w="106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二等奖</w:t>
            </w:r>
          </w:p>
        </w:tc>
        <w:tc>
          <w:tcPr>
            <w:tcW w:w="987"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陈亚辉</w:t>
            </w:r>
          </w:p>
        </w:tc>
        <w:tc>
          <w:tcPr>
            <w:tcW w:w="724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双碳目标下各地蓝色金融发展模式与“蓝色”激励效应研究</w:t>
            </w:r>
          </w:p>
        </w:tc>
      </w:tr>
      <w:tr>
        <w:tblPrEx>
          <w:tblCellMar>
            <w:top w:w="0" w:type="dxa"/>
            <w:left w:w="108" w:type="dxa"/>
            <w:bottom w:w="0" w:type="dxa"/>
            <w:right w:w="108" w:type="dxa"/>
          </w:tblCellMar>
        </w:tblPrEx>
        <w:trPr>
          <w:trHeight w:val="417" w:hRule="atLeast"/>
        </w:trPr>
        <w:tc>
          <w:tcPr>
            <w:tcW w:w="106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三等奖</w:t>
            </w:r>
          </w:p>
        </w:tc>
        <w:tc>
          <w:tcPr>
            <w:tcW w:w="987"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吴彤</w:t>
            </w:r>
          </w:p>
        </w:tc>
        <w:tc>
          <w:tcPr>
            <w:tcW w:w="724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“综合金融+医康养”趋势下老龄群体居家医疗服务需求及金融支持路径研究</w:t>
            </w:r>
          </w:p>
        </w:tc>
      </w:tr>
      <w:tr>
        <w:tblPrEx>
          <w:tblCellMar>
            <w:top w:w="0" w:type="dxa"/>
            <w:left w:w="108" w:type="dxa"/>
            <w:bottom w:w="0" w:type="dxa"/>
            <w:right w:w="108" w:type="dxa"/>
          </w:tblCellMar>
        </w:tblPrEx>
        <w:trPr>
          <w:trHeight w:val="800" w:hRule="atLeast"/>
        </w:trPr>
        <w:tc>
          <w:tcPr>
            <w:tcW w:w="106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三等奖</w:t>
            </w:r>
          </w:p>
        </w:tc>
        <w:tc>
          <w:tcPr>
            <w:tcW w:w="987"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刘雨萱</w:t>
            </w:r>
          </w:p>
        </w:tc>
        <w:tc>
          <w:tcPr>
            <w:tcW w:w="724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关于解决新市民人群职业风险特征与保险风险偏好矛盾可行性方案研究——以外卖骑手为例</w:t>
            </w:r>
          </w:p>
        </w:tc>
      </w:tr>
      <w:tr>
        <w:tblPrEx>
          <w:tblCellMar>
            <w:top w:w="0" w:type="dxa"/>
            <w:left w:w="108" w:type="dxa"/>
            <w:bottom w:w="0" w:type="dxa"/>
            <w:right w:w="108" w:type="dxa"/>
          </w:tblCellMar>
        </w:tblPrEx>
        <w:trPr>
          <w:trHeight w:val="417" w:hRule="atLeast"/>
        </w:trPr>
        <w:tc>
          <w:tcPr>
            <w:tcW w:w="106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三等奖</w:t>
            </w:r>
          </w:p>
        </w:tc>
        <w:tc>
          <w:tcPr>
            <w:tcW w:w="987"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曾文俊</w:t>
            </w:r>
          </w:p>
        </w:tc>
        <w:tc>
          <w:tcPr>
            <w:tcW w:w="724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多层次医疗保障体系下“惠民保”效果评估及优化发展研究</w:t>
            </w:r>
          </w:p>
        </w:tc>
      </w:tr>
      <w:tr>
        <w:tblPrEx>
          <w:tblCellMar>
            <w:top w:w="0" w:type="dxa"/>
            <w:left w:w="108" w:type="dxa"/>
            <w:bottom w:w="0" w:type="dxa"/>
            <w:right w:w="108" w:type="dxa"/>
          </w:tblCellMar>
        </w:tblPrEx>
        <w:trPr>
          <w:trHeight w:val="527" w:hRule="atLeast"/>
        </w:trPr>
        <w:tc>
          <w:tcPr>
            <w:tcW w:w="106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三等奖</w:t>
            </w:r>
          </w:p>
        </w:tc>
        <w:tc>
          <w:tcPr>
            <w:tcW w:w="987"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朱恬瑶</w:t>
            </w:r>
          </w:p>
        </w:tc>
        <w:tc>
          <w:tcPr>
            <w:tcW w:w="724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“平安助农路，保险护乡兴”农业保险平台整体方案设计——基于湖北省农户等的保险认知需求调研</w:t>
            </w:r>
          </w:p>
        </w:tc>
      </w:tr>
      <w:tr>
        <w:tblPrEx>
          <w:tblCellMar>
            <w:top w:w="0" w:type="dxa"/>
            <w:left w:w="108" w:type="dxa"/>
            <w:bottom w:w="0" w:type="dxa"/>
            <w:right w:w="108" w:type="dxa"/>
          </w:tblCellMar>
        </w:tblPrEx>
        <w:trPr>
          <w:trHeight w:val="718" w:hRule="atLeast"/>
        </w:trPr>
        <w:tc>
          <w:tcPr>
            <w:tcW w:w="106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三等奖</w:t>
            </w:r>
          </w:p>
        </w:tc>
        <w:tc>
          <w:tcPr>
            <w:tcW w:w="987"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龚豪俊</w:t>
            </w:r>
          </w:p>
        </w:tc>
        <w:tc>
          <w:tcPr>
            <w:tcW w:w="724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“化险为‘率’？” 基于DEA-Tobit模型分析保险科技对保险业经营效率的影响——以普惠金融试点区为例</w:t>
            </w:r>
          </w:p>
        </w:tc>
      </w:tr>
      <w:tr>
        <w:tblPrEx>
          <w:tblCellMar>
            <w:top w:w="0" w:type="dxa"/>
            <w:left w:w="108" w:type="dxa"/>
            <w:bottom w:w="0" w:type="dxa"/>
            <w:right w:w="108" w:type="dxa"/>
          </w:tblCellMar>
        </w:tblPrEx>
        <w:trPr>
          <w:trHeight w:val="417" w:hRule="atLeast"/>
        </w:trPr>
        <w:tc>
          <w:tcPr>
            <w:tcW w:w="106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三等奖</w:t>
            </w:r>
          </w:p>
        </w:tc>
        <w:tc>
          <w:tcPr>
            <w:tcW w:w="987"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蔡福春</w:t>
            </w:r>
          </w:p>
        </w:tc>
        <w:tc>
          <w:tcPr>
            <w:tcW w:w="724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 xml:space="preserve">老年群体基本医疗保险的保障缺口和商业保险需求调查——以武汉地区为例 </w:t>
            </w:r>
          </w:p>
        </w:tc>
      </w:tr>
    </w:tbl>
    <w:p>
      <w:pPr>
        <w:wordWrap w:val="0"/>
        <w:spacing w:line="360" w:lineRule="auto"/>
        <w:jc w:val="both"/>
        <w:rPr>
          <w:rFonts w:hint="default" w:ascii="Times New Roman" w:hAnsi="Times New Roman" w:eastAsia="宋体" w:cs="Times New Roman"/>
          <w:color w:val="333333"/>
          <w:shd w:val="clear" w:color="auto" w:fill="FFFFFF"/>
        </w:rPr>
      </w:pPr>
    </w:p>
    <w:p>
      <w:pPr>
        <w:wordWrap w:val="0"/>
        <w:spacing w:line="360" w:lineRule="auto"/>
        <w:jc w:val="right"/>
        <w:rPr>
          <w:rFonts w:hint="default" w:ascii="Times New Roman" w:hAnsi="Times New Roman" w:eastAsia="宋体" w:cs="Times New Roman"/>
          <w:bCs/>
          <w:szCs w:val="21"/>
        </w:rPr>
      </w:pPr>
      <w:r>
        <w:rPr>
          <w:rFonts w:hint="default" w:ascii="Times New Roman" w:hAnsi="Times New Roman" w:eastAsia="宋体" w:cs="Times New Roman"/>
          <w:color w:val="333333"/>
          <w:shd w:val="clear" w:color="auto" w:fill="FFFFFF"/>
        </w:rPr>
        <w:t>共青团中南财经政法大学金融学院委员会</w:t>
      </w:r>
    </w:p>
    <w:p>
      <w:pPr>
        <w:spacing w:line="360" w:lineRule="auto"/>
        <w:jc w:val="right"/>
        <w:rPr>
          <w:rFonts w:hint="default" w:ascii="Times New Roman" w:hAnsi="Times New Roman" w:eastAsia="宋体" w:cs="Times New Roman"/>
          <w:bCs/>
          <w:szCs w:val="21"/>
        </w:rPr>
      </w:pPr>
      <w:r>
        <w:rPr>
          <w:rFonts w:hint="default" w:ascii="Times New Roman" w:hAnsi="Times New Roman" w:eastAsia="宋体" w:cs="Times New Roman"/>
          <w:bCs/>
          <w:szCs w:val="21"/>
        </w:rPr>
        <w:t>金融学院学生会学术部</w:t>
      </w:r>
    </w:p>
    <w:p>
      <w:pPr>
        <w:spacing w:line="360" w:lineRule="auto"/>
        <w:jc w:val="right"/>
        <w:rPr>
          <w:rFonts w:hint="default" w:ascii="Times New Roman" w:hAnsi="Times New Roman" w:eastAsia="宋体" w:cs="Times New Roman"/>
          <w:bCs/>
          <w:szCs w:val="21"/>
          <w:lang w:val="en-US" w:eastAsia="zh-CN"/>
        </w:rPr>
      </w:pPr>
      <w:r>
        <w:rPr>
          <w:rFonts w:hint="default" w:ascii="Times New Roman" w:hAnsi="Times New Roman" w:eastAsia="宋体" w:cs="Times New Roman"/>
          <w:bCs/>
          <w:szCs w:val="21"/>
          <w:lang w:val="en-US" w:eastAsia="zh-CN"/>
        </w:rPr>
        <w:t>金融学院研究生会</w:t>
      </w:r>
    </w:p>
    <w:p>
      <w:pPr>
        <w:spacing w:line="360" w:lineRule="auto"/>
        <w:jc w:val="right"/>
        <w:rPr>
          <w:rFonts w:hint="default" w:ascii="Times New Roman" w:hAnsi="Times New Roman" w:eastAsia="宋体" w:cs="Times New Roman"/>
          <w:bCs/>
          <w:szCs w:val="21"/>
        </w:rPr>
      </w:pPr>
      <w:r>
        <w:rPr>
          <w:rFonts w:hint="default" w:ascii="Times New Roman" w:hAnsi="Times New Roman" w:eastAsia="宋体" w:cs="Times New Roman"/>
          <w:bCs/>
          <w:szCs w:val="21"/>
        </w:rPr>
        <w:t>二〇二三年八月三十一日</w:t>
      </w:r>
    </w:p>
    <w:p>
      <w:pPr>
        <w:widowControl/>
        <w:ind w:firstLine="420" w:firstLineChars="200"/>
        <w:rPr>
          <w:rFonts w:hint="default" w:ascii="Times New Roman" w:hAnsi="Times New Roman" w:eastAsia="宋体" w:cs="Times New Roman"/>
          <w:color w:val="000000"/>
          <w:kern w:val="0"/>
          <w:szCs w:val="21"/>
        </w:rPr>
      </w:pPr>
    </w:p>
    <w:p>
      <w:pPr>
        <w:widowControl/>
        <w:ind w:firstLine="420" w:firstLineChars="200"/>
        <w:rPr>
          <w:rFonts w:hint="default" w:ascii="Times New Roman" w:hAnsi="Times New Roman" w:eastAsia="宋体" w:cs="Times New Roman"/>
          <w:color w:val="000000"/>
          <w:kern w:val="0"/>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zN2QwYmE2ZTE1MjRkYzU5ZTQ3OGNkMmQ0MDEwNWYifQ=="/>
  </w:docVars>
  <w:rsids>
    <w:rsidRoot w:val="00F91646"/>
    <w:rsid w:val="000F6BB9"/>
    <w:rsid w:val="001B064F"/>
    <w:rsid w:val="001B5212"/>
    <w:rsid w:val="002433F4"/>
    <w:rsid w:val="00510870"/>
    <w:rsid w:val="00941AD2"/>
    <w:rsid w:val="00A15397"/>
    <w:rsid w:val="00AF409B"/>
    <w:rsid w:val="00B578AD"/>
    <w:rsid w:val="00CE0D88"/>
    <w:rsid w:val="00D34616"/>
    <w:rsid w:val="00F91646"/>
    <w:rsid w:val="00FC5BE6"/>
    <w:rsid w:val="00FD2104"/>
    <w:rsid w:val="09BB7DB3"/>
    <w:rsid w:val="0F3B1FFC"/>
    <w:rsid w:val="1DBD0B04"/>
    <w:rsid w:val="2DBE4083"/>
    <w:rsid w:val="32DE3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字符"/>
    <w:basedOn w:val="6"/>
    <w:link w:val="3"/>
    <w:uiPriority w:val="99"/>
    <w:rPr>
      <w:sz w:val="18"/>
      <w:szCs w:val="18"/>
    </w:rPr>
  </w:style>
  <w:style w:type="character" w:customStyle="1" w:styleId="8">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652</Words>
  <Characters>679</Characters>
  <Lines>5</Lines>
  <Paragraphs>1</Paragraphs>
  <TotalTime>1</TotalTime>
  <ScaleCrop>false</ScaleCrop>
  <LinksUpToDate>false</LinksUpToDate>
  <CharactersWithSpaces>687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2023-08-31T11:21:00Z</dcterms:created>
  <dc:creator>嘉祥 唐</dc:creator>
  <cp:lastModifiedBy>南音。</cp:lastModifiedBy>
  <dcterms:modified xsi:type="dcterms:W3CDTF">2023-09-04T05:25:27Z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EB7A7C38B4FE4315AB8EB6DA7475C9DF_13</vt:lpwstr>
  </property>
</Properties>
</file>